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41" w:rsidRPr="00AD31E2" w:rsidRDefault="007F099D">
      <w:pPr>
        <w:spacing w:after="0" w:line="408" w:lineRule="auto"/>
        <w:ind w:left="120"/>
        <w:jc w:val="center"/>
        <w:rPr>
          <w:lang w:val="ru-RU"/>
        </w:rPr>
      </w:pPr>
      <w:bookmarkStart w:id="0" w:name="block-36818055"/>
      <w:r w:rsidRPr="00AD31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1D41" w:rsidRPr="00AD31E2" w:rsidRDefault="007F099D">
      <w:pPr>
        <w:spacing w:after="0" w:line="408" w:lineRule="auto"/>
        <w:ind w:left="120"/>
        <w:jc w:val="center"/>
        <w:rPr>
          <w:lang w:val="ru-RU"/>
        </w:rPr>
      </w:pPr>
      <w:bookmarkStart w:id="1" w:name="bff31390-7ea5-44a0-89b2-6b734b597acc"/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 Мансийского автономного округа - </w:t>
      </w:r>
      <w:proofErr w:type="spellStart"/>
      <w:r w:rsidRPr="00AD31E2">
        <w:rPr>
          <w:rFonts w:ascii="Times New Roman" w:hAnsi="Times New Roman"/>
          <w:b/>
          <w:color w:val="000000"/>
          <w:sz w:val="28"/>
          <w:lang w:val="ru-RU"/>
        </w:rPr>
        <w:t>Югры</w:t>
      </w:r>
      <w:proofErr w:type="spellEnd"/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города Сургута </w:t>
      </w:r>
      <w:bookmarkEnd w:id="1"/>
    </w:p>
    <w:p w:rsidR="00BC1D41" w:rsidRPr="00AD31E2" w:rsidRDefault="007F099D">
      <w:pPr>
        <w:spacing w:after="0" w:line="408" w:lineRule="auto"/>
        <w:ind w:left="120"/>
        <w:jc w:val="center"/>
        <w:rPr>
          <w:lang w:val="ru-RU"/>
        </w:rPr>
      </w:pPr>
      <w:bookmarkStart w:id="2" w:name="3f38abc0-4702-4989-9a9f-d06fb838b596"/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2"/>
    </w:p>
    <w:p w:rsidR="00BC1D41" w:rsidRPr="00AD31E2" w:rsidRDefault="007F099D">
      <w:pPr>
        <w:spacing w:after="0" w:line="408" w:lineRule="auto"/>
        <w:ind w:left="120"/>
        <w:jc w:val="center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BC1D4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D31E2" w:rsidTr="000D4161">
        <w:tc>
          <w:tcPr>
            <w:tcW w:w="3114" w:type="dxa"/>
          </w:tcPr>
          <w:p w:rsidR="00C53FFE" w:rsidRPr="0040209D" w:rsidRDefault="007F09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09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E6975" w:rsidRDefault="007F09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09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Бочкарева Ольга Александровна</w:t>
            </w:r>
          </w:p>
          <w:p w:rsidR="00AD31E2" w:rsidRDefault="00AD31E2" w:rsidP="00AD31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6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</w:p>
          <w:p w:rsidR="004E6975" w:rsidRDefault="007F09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AD31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09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09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09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7F09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09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Ильюков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Виталий Валерьевич</w:t>
            </w:r>
          </w:p>
          <w:p w:rsidR="00AD31E2" w:rsidRDefault="00AD31E2" w:rsidP="00AD31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6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:rsidR="004E6975" w:rsidRDefault="007F09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09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09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09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7F09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09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Светлана Анатольевна</w:t>
            </w:r>
          </w:p>
          <w:p w:rsidR="00AD31E2" w:rsidRDefault="00AD31E2" w:rsidP="00AD31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6C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:rsidR="000E6D86" w:rsidRDefault="007F09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09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7F099D">
      <w:pPr>
        <w:spacing w:after="0" w:line="408" w:lineRule="auto"/>
        <w:ind w:left="120"/>
        <w:jc w:val="center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1D41" w:rsidRPr="00AD31E2" w:rsidRDefault="007F099D">
      <w:pPr>
        <w:spacing w:after="0" w:line="408" w:lineRule="auto"/>
        <w:ind w:left="120"/>
        <w:jc w:val="center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4841168)</w:t>
      </w:r>
    </w:p>
    <w:p w:rsidR="00BC1D41" w:rsidRPr="00AD31E2" w:rsidRDefault="00BC1D41">
      <w:pPr>
        <w:spacing w:after="0"/>
        <w:ind w:left="120"/>
        <w:jc w:val="center"/>
        <w:rPr>
          <w:lang w:val="ru-RU"/>
        </w:rPr>
      </w:pPr>
    </w:p>
    <w:p w:rsidR="00BC1D41" w:rsidRPr="00AD31E2" w:rsidRDefault="007F099D">
      <w:pPr>
        <w:spacing w:after="0" w:line="408" w:lineRule="auto"/>
        <w:ind w:left="120"/>
        <w:jc w:val="center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 (углублённый уровень)»</w:t>
      </w:r>
    </w:p>
    <w:p w:rsidR="00BC1D41" w:rsidRPr="00AD31E2" w:rsidRDefault="007F099D" w:rsidP="00AD31E2">
      <w:pPr>
        <w:spacing w:after="0" w:line="408" w:lineRule="auto"/>
        <w:ind w:left="120"/>
        <w:jc w:val="center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AD31E2">
        <w:rPr>
          <w:rFonts w:ascii="Times New Roman" w:hAnsi="Times New Roman"/>
          <w:color w:val="000000"/>
          <w:sz w:val="28"/>
          <w:lang w:val="ru-RU"/>
        </w:rPr>
        <w:t>9</w:t>
      </w:r>
      <w:r w:rsidR="00AD31E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AD31E2">
        <w:rPr>
          <w:rFonts w:ascii="Times New Roman" w:hAnsi="Times New Roman"/>
          <w:color w:val="000000"/>
          <w:sz w:val="28"/>
          <w:lang w:val="ru-RU"/>
        </w:rPr>
        <w:t>а</w:t>
      </w:r>
    </w:p>
    <w:p w:rsidR="00BC1D41" w:rsidRPr="00AD31E2" w:rsidRDefault="00BC1D41">
      <w:pPr>
        <w:spacing w:after="0"/>
        <w:ind w:left="120"/>
        <w:jc w:val="center"/>
        <w:rPr>
          <w:lang w:val="ru-RU"/>
        </w:rPr>
      </w:pPr>
    </w:p>
    <w:p w:rsidR="00BC1D41" w:rsidRPr="00AD31E2" w:rsidRDefault="00BC1D41">
      <w:pPr>
        <w:spacing w:after="0"/>
        <w:ind w:left="120"/>
        <w:jc w:val="center"/>
        <w:rPr>
          <w:lang w:val="ru-RU"/>
        </w:rPr>
      </w:pPr>
    </w:p>
    <w:p w:rsidR="00BC1D41" w:rsidRPr="00AD31E2" w:rsidRDefault="00BC1D41">
      <w:pPr>
        <w:spacing w:after="0"/>
        <w:ind w:left="120"/>
        <w:jc w:val="center"/>
        <w:rPr>
          <w:lang w:val="ru-RU"/>
        </w:rPr>
      </w:pPr>
    </w:p>
    <w:p w:rsidR="00BC1D41" w:rsidRPr="00AD31E2" w:rsidRDefault="00BC1D41">
      <w:pPr>
        <w:spacing w:after="0"/>
        <w:ind w:left="120"/>
        <w:jc w:val="center"/>
        <w:rPr>
          <w:lang w:val="ru-RU"/>
        </w:rPr>
      </w:pPr>
    </w:p>
    <w:p w:rsidR="00BC1D41" w:rsidRPr="00AD31E2" w:rsidRDefault="00BC1D41">
      <w:pPr>
        <w:spacing w:after="0"/>
        <w:ind w:left="120"/>
        <w:jc w:val="center"/>
        <w:rPr>
          <w:lang w:val="ru-RU"/>
        </w:rPr>
      </w:pPr>
    </w:p>
    <w:p w:rsidR="00BC1D41" w:rsidRPr="00AD31E2" w:rsidRDefault="00BC1D41">
      <w:pPr>
        <w:spacing w:after="0"/>
        <w:ind w:left="120"/>
        <w:jc w:val="center"/>
        <w:rPr>
          <w:lang w:val="ru-RU"/>
        </w:rPr>
      </w:pPr>
    </w:p>
    <w:p w:rsidR="00BC1D41" w:rsidRPr="00AD31E2" w:rsidRDefault="00BC1D41">
      <w:pPr>
        <w:spacing w:after="0"/>
        <w:ind w:left="120"/>
        <w:jc w:val="center"/>
        <w:rPr>
          <w:lang w:val="ru-RU"/>
        </w:rPr>
      </w:pPr>
    </w:p>
    <w:p w:rsidR="00BC1D41" w:rsidRPr="00AD31E2" w:rsidRDefault="007F099D">
      <w:pPr>
        <w:spacing w:after="0"/>
        <w:ind w:left="120"/>
        <w:jc w:val="center"/>
        <w:rPr>
          <w:lang w:val="ru-RU"/>
        </w:rPr>
      </w:pPr>
      <w:bookmarkStart w:id="3" w:name="5a17e54a-5461-40d4-915d-d06f1b248fc5"/>
      <w:r w:rsidRPr="00AD31E2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3"/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349a3d8-cfa0-467b-833b-c8e257e5a4a7"/>
      <w:r w:rsidRPr="00AD31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BC1D41">
      <w:pPr>
        <w:rPr>
          <w:lang w:val="ru-RU"/>
        </w:rPr>
        <w:sectPr w:rsidR="00BC1D41" w:rsidRPr="00AD31E2">
          <w:pgSz w:w="11906" w:h="16383"/>
          <w:pgMar w:top="1134" w:right="850" w:bottom="1134" w:left="1701" w:header="720" w:footer="720" w:gutter="0"/>
          <w:cols w:space="720"/>
        </w:sectPr>
      </w:pP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bookmarkStart w:id="5" w:name="block-36818059"/>
      <w:bookmarkEnd w:id="0"/>
      <w:r w:rsidRPr="00AD31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степени и его свойства. Степень с рациональным показателем и её свойства.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Тождественные преобразования выражений, содержащих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степени. Тождественные преобразования выражений, содержащих степень с рациональным показателем.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Квадратный трёхчлен. Корни квадратного трёхчлена. Разложение квадратного трёхчлена на линейные мн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ожители.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Биквадратные уравнения. Примеры применений методов равносильных преобразований, замены переменной, графического метода при решении уравнений 3-й и 4-й степеней.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Решение дробно-рациональных уравнений.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Решение систем уравне</w:t>
      </w:r>
      <w:r w:rsidRPr="00AD31E2">
        <w:rPr>
          <w:rFonts w:ascii="Times New Roman" w:hAnsi="Times New Roman"/>
          <w:color w:val="000000"/>
          <w:sz w:val="28"/>
          <w:lang w:val="ru-RU"/>
        </w:rPr>
        <w:t>ний с двумя переменными. Решение простейших систем нелинейных уравнений с двумя переменными. Графический метод решения системы нелинейных уравнений с двумя переменными. Система двух нелинейных уравнений с двумя переменными как модель реальной ситуации.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Чис</w:t>
      </w:r>
      <w:r w:rsidRPr="00AD31E2">
        <w:rPr>
          <w:rFonts w:ascii="Times New Roman" w:hAnsi="Times New Roman"/>
          <w:color w:val="000000"/>
          <w:sz w:val="28"/>
          <w:lang w:val="ru-RU"/>
        </w:rPr>
        <w:t>ловые неравенства. Решение линейных неравенств. Доказательство неравенств.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Квадратные неравенства с одной переменной. Решение квадратных неравенств графическим методом и методом интервалов. Метод интервалов для рациональных неравенств. Простейшие неравенст</w:t>
      </w:r>
      <w:r w:rsidRPr="00AD31E2">
        <w:rPr>
          <w:rFonts w:ascii="Times New Roman" w:hAnsi="Times New Roman"/>
          <w:color w:val="000000"/>
          <w:sz w:val="28"/>
          <w:lang w:val="ru-RU"/>
        </w:rPr>
        <w:t>ва с параметром.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Решение текстовых задач с помощью неравенств, систем неравенств.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Неравенство с двумя переменными. Решение неравенства с двумя переменными. Системы неравенств с двумя переменными. Графический метод решения систем неравенств с двумя переменн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ыми.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Функция. Свойства функций: нули функции, промежутки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функции, промежутки возрастания и убывания функции, чётные и нечётные функции, наибольшее и наименьшее значения функции.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Квадратичная функция и её свойства. Использование с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войств квадратичной функции для решения задач. Построение графика квадратичной функции. Положение графика квадратичной функции в </w:t>
      </w:r>
      <w:r w:rsidRPr="00AD3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зависимости от её коэффициентов. Графики функций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D31E2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 xml:space="preserve">2 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D31E2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 +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>. Построение графиков функций с помощь</w:t>
      </w:r>
      <w:r w:rsidRPr="00AD31E2">
        <w:rPr>
          <w:rFonts w:ascii="Times New Roman" w:hAnsi="Times New Roman"/>
          <w:color w:val="000000"/>
          <w:sz w:val="28"/>
          <w:lang w:val="ru-RU"/>
        </w:rPr>
        <w:t>ю преобразований.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Дробно-линейная функция. Исследование функций.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Функция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vertAlign w:val="superscript"/>
        </w:rPr>
        <w:t>n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с натуральным показателем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и её график.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Конечные и бесконечные последовательности. Ограниченная п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оследовательность. Монотонно возрастающая (убывающая) последовательность. Способы задания последовательности: описательный, табличный,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-го члена, рекуррентный.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Свойства членов арифметической и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геометрической прогрессий.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прогрессий. Формулы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членов арифметической и геометрической прогрессий. Задачи на проценты, банковские вклады, кредиты.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Представление о сходимости последовательно</w:t>
      </w:r>
      <w:r w:rsidRPr="00AD31E2">
        <w:rPr>
          <w:rFonts w:ascii="Times New Roman" w:hAnsi="Times New Roman"/>
          <w:color w:val="000000"/>
          <w:sz w:val="28"/>
          <w:lang w:val="ru-RU"/>
        </w:rPr>
        <w:t>сти, о суммировании бесконечно убывающей геометрической прогрессии.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Метод математической индукции. Простейшие примеры.</w:t>
      </w: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bookmarkStart w:id="6" w:name="block-36818060"/>
      <w:bookmarkEnd w:id="5"/>
      <w:r w:rsidRPr="00AD31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иплин как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для повседневной жизни. Развитие у обучающихся научных представлений о происхождении и сущности алгебраических абстракций, способе отражения ма</w:t>
      </w:r>
      <w:r w:rsidRPr="00AD31E2">
        <w:rPr>
          <w:rFonts w:ascii="Times New Roman" w:hAnsi="Times New Roman"/>
          <w:color w:val="000000"/>
          <w:sz w:val="28"/>
          <w:lang w:val="ru-RU"/>
        </w:rPr>
        <w:t>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действия, выводы, формулировать утверждения. Освоение курса алгебры обеспечивает раз</w:t>
      </w:r>
      <w:r w:rsidRPr="00AD31E2">
        <w:rPr>
          <w:rFonts w:ascii="Times New Roman" w:hAnsi="Times New Roman"/>
          <w:color w:val="000000"/>
          <w:sz w:val="28"/>
          <w:lang w:val="ru-RU"/>
        </w:rPr>
        <w:t>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тельное решение задач обучающимися является реализацией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структуре программы учебного курса «Алгебра» углублённого изучения основное место занимают содержательно-методические линии: «Числа и вычисления», «Алгебраические </w:t>
      </w:r>
      <w:r w:rsidRPr="00AD31E2">
        <w:rPr>
          <w:rFonts w:ascii="Times New Roman" w:hAnsi="Times New Roman"/>
          <w:color w:val="000000"/>
          <w:sz w:val="28"/>
          <w:lang w:val="ru-RU"/>
        </w:rPr>
        <w:t>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курса обучающимся приходится логически рассуждать, ис</w:t>
      </w:r>
      <w:r w:rsidRPr="00AD31E2">
        <w:rPr>
          <w:rFonts w:ascii="Times New Roman" w:hAnsi="Times New Roman"/>
          <w:color w:val="000000"/>
          <w:sz w:val="28"/>
          <w:lang w:val="ru-RU"/>
        </w:rPr>
        <w:t>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</w:t>
      </w:r>
      <w:r w:rsidRPr="00AD31E2">
        <w:rPr>
          <w:rFonts w:ascii="Times New Roman" w:hAnsi="Times New Roman"/>
          <w:color w:val="000000"/>
          <w:sz w:val="28"/>
          <w:lang w:val="ru-RU"/>
        </w:rPr>
        <w:t>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</w:t>
      </w:r>
      <w:r w:rsidRPr="00AD31E2">
        <w:rPr>
          <w:rFonts w:ascii="Times New Roman" w:hAnsi="Times New Roman"/>
          <w:color w:val="000000"/>
          <w:sz w:val="28"/>
          <w:lang w:val="ru-RU"/>
        </w:rPr>
        <w:t>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</w:t>
      </w:r>
      <w:r w:rsidRPr="00AD31E2">
        <w:rPr>
          <w:rFonts w:ascii="Times New Roman" w:hAnsi="Times New Roman"/>
          <w:color w:val="000000"/>
          <w:sz w:val="28"/>
          <w:lang w:val="ru-RU"/>
        </w:rPr>
        <w:t>бучающихся математического аппарата, необходимого для решения задач математики, смежных предметов и окружающей реальности. На уровне основного общего образования учебный материал группируется вокруг рациональных выражений. Алгебра демонстрирует значение ма</w:t>
      </w:r>
      <w:r w:rsidRPr="00AD31E2">
        <w:rPr>
          <w:rFonts w:ascii="Times New Roman" w:hAnsi="Times New Roman"/>
          <w:color w:val="000000"/>
          <w:sz w:val="28"/>
          <w:lang w:val="ru-RU"/>
        </w:rPr>
        <w:t>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</w:t>
      </w:r>
      <w:r w:rsidRPr="00AD31E2">
        <w:rPr>
          <w:rFonts w:ascii="Times New Roman" w:hAnsi="Times New Roman"/>
          <w:color w:val="000000"/>
          <w:sz w:val="28"/>
          <w:lang w:val="ru-RU"/>
        </w:rPr>
        <w:t>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</w:t>
      </w:r>
      <w:r w:rsidRPr="00AD31E2">
        <w:rPr>
          <w:rFonts w:ascii="Times New Roman" w:hAnsi="Times New Roman"/>
          <w:color w:val="000000"/>
          <w:sz w:val="28"/>
          <w:lang w:val="ru-RU"/>
        </w:rPr>
        <w:lastRenderedPageBreak/>
        <w:t>словесного, символичес</w:t>
      </w:r>
      <w:r w:rsidRPr="00AD31E2">
        <w:rPr>
          <w:rFonts w:ascii="Times New Roman" w:hAnsi="Times New Roman"/>
          <w:color w:val="000000"/>
          <w:sz w:val="28"/>
          <w:lang w:val="ru-RU"/>
        </w:rPr>
        <w:t>кого, графического, вносит вклад в формирование представлений о роли математики в развитии цивилизации и культуры.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Углублённый курс алгебры характеризуется изучением дополнительного теоретического аппарата и связанных с ним методов решения задач. Алгебра является языком для описания объектов и закономерностей, служит основой математического моделирования. При этом сами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развивают математическую интуицию, кратко и наглядно раскрывают механизм логических построений и учат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их применению. Тем самым алгебра занимает одно из ведущих мест в формировании научно-теоретического мышления обучающихся.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</w:t>
      </w:r>
      <w:r w:rsidRPr="00AD31E2">
        <w:rPr>
          <w:rFonts w:ascii="Times New Roman" w:hAnsi="Times New Roman"/>
          <w:color w:val="000000"/>
          <w:sz w:val="28"/>
          <w:lang w:val="ru-RU"/>
        </w:rPr>
        <w:t>ла и вычисления», «Алгебраические выражения», «Уравнения и неравенства», «Функции».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bookmarkStart w:id="7" w:name="d485dce0-a80d-4f1e-aa1e-93b13f2d627b"/>
      <w:r w:rsidRPr="00AD31E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: в 9 классе – 136 часов (4 часа в неделю).</w:t>
      </w:r>
      <w:bookmarkEnd w:id="7"/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bookmarkStart w:id="8" w:name="block-36818056"/>
      <w:bookmarkEnd w:id="6"/>
      <w:r w:rsidRPr="00AD31E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УЧЕБНОГО КУРСА «АЛГЕБРА» НА УГЛУБ</w:t>
      </w:r>
      <w:r w:rsidRPr="00AD31E2">
        <w:rPr>
          <w:rFonts w:ascii="Times New Roman" w:hAnsi="Times New Roman"/>
          <w:color w:val="000000"/>
          <w:sz w:val="28"/>
          <w:lang w:val="ru-RU"/>
        </w:rPr>
        <w:t>ЛЁННОМ УРОВНЕ ОСНОВНОГО ОБЩЕГО ОБРАЗОВАНИЯ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D31E2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</w:t>
      </w:r>
      <w:r w:rsidRPr="00AD31E2">
        <w:rPr>
          <w:rFonts w:ascii="Times New Roman" w:hAnsi="Times New Roman"/>
          <w:color w:val="000000"/>
          <w:sz w:val="28"/>
          <w:lang w:val="ru-RU"/>
        </w:rPr>
        <w:t>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</w:t>
      </w:r>
      <w:r w:rsidRPr="00AD31E2">
        <w:rPr>
          <w:rFonts w:ascii="Times New Roman" w:hAnsi="Times New Roman"/>
          <w:color w:val="000000"/>
          <w:sz w:val="28"/>
          <w:lang w:val="ru-RU"/>
        </w:rPr>
        <w:t>й науки, осознанием важности морально-этических принципов в деятельности учёного;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</w:t>
      </w:r>
      <w:r w:rsidRPr="00AD31E2">
        <w:rPr>
          <w:rFonts w:ascii="Times New Roman" w:hAnsi="Times New Roman"/>
          <w:color w:val="000000"/>
          <w:sz w:val="28"/>
          <w:lang w:val="ru-RU"/>
        </w:rPr>
        <w:t>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4) эстетического восп</w:t>
      </w:r>
      <w:r w:rsidRPr="00AD31E2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</w:t>
      </w:r>
      <w:r w:rsidRPr="00AD31E2">
        <w:rPr>
          <w:rFonts w:ascii="Times New Roman" w:hAnsi="Times New Roman"/>
          <w:color w:val="000000"/>
          <w:sz w:val="28"/>
          <w:lang w:val="ru-RU"/>
        </w:rPr>
        <w:t>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</w:t>
      </w:r>
      <w:r w:rsidRPr="00AD31E2">
        <w:rPr>
          <w:rFonts w:ascii="Times New Roman" w:hAnsi="Times New Roman"/>
          <w:color w:val="000000"/>
          <w:sz w:val="28"/>
          <w:lang w:val="ru-RU"/>
        </w:rPr>
        <w:t>тической культурой как средством познания мира, овладением навыками исследовательской деятельности;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</w:t>
      </w:r>
      <w:r w:rsidRPr="00AD31E2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</w:t>
      </w:r>
      <w:r w:rsidRPr="00AD31E2">
        <w:rPr>
          <w:rFonts w:ascii="Times New Roman" w:hAnsi="Times New Roman"/>
          <w:color w:val="000000"/>
          <w:sz w:val="28"/>
          <w:lang w:val="ru-RU"/>
        </w:rPr>
        <w:t>путей их решения;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</w:t>
      </w:r>
      <w:r w:rsidRPr="00AD31E2">
        <w:rPr>
          <w:rFonts w:ascii="Times New Roman" w:hAnsi="Times New Roman"/>
          <w:color w:val="000000"/>
          <w:sz w:val="28"/>
          <w:lang w:val="ru-RU"/>
        </w:rPr>
        <w:t>бретать в совместной деятельности новые знания, навыки и компетенции из опыта других;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наний и компетентностей, планировать своё развитие;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</w:t>
      </w:r>
      <w:r w:rsidRPr="00AD31E2">
        <w:rPr>
          <w:rFonts w:ascii="Times New Roman" w:hAnsi="Times New Roman"/>
          <w:color w:val="000000"/>
          <w:sz w:val="28"/>
          <w:lang w:val="ru-RU"/>
        </w:rPr>
        <w:t>формировать опыт.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у обучающегося будут сформированы </w:t>
      </w:r>
      <w:proofErr w:type="spellStart"/>
      <w:r w:rsidRPr="00AD31E2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AD31E2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познавательными дейс</w:t>
      </w:r>
      <w:r w:rsidRPr="00AD31E2">
        <w:rPr>
          <w:rFonts w:ascii="Times New Roman" w:hAnsi="Times New Roman"/>
          <w:color w:val="000000"/>
          <w:sz w:val="28"/>
          <w:lang w:val="ru-RU"/>
        </w:rPr>
        <w:t>твиями, универсальными коммуникативными действиями и универсальными регулятивными действиями.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</w:t>
      </w:r>
      <w:r w:rsidRPr="00AD31E2">
        <w:rPr>
          <w:rFonts w:ascii="Times New Roman" w:hAnsi="Times New Roman"/>
          <w:color w:val="000000"/>
          <w:sz w:val="28"/>
          <w:lang w:val="ru-RU"/>
        </w:rPr>
        <w:t>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</w:t>
      </w:r>
      <w:r w:rsidRPr="00AD31E2">
        <w:rPr>
          <w:rFonts w:ascii="Times New Roman" w:hAnsi="Times New Roman"/>
          <w:color w:val="000000"/>
          <w:sz w:val="28"/>
          <w:lang w:val="ru-RU"/>
        </w:rPr>
        <w:t>ельные, единичные, частные и общие, условные;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законов логики, дедуктивных и индуктивных умозаключений, умозаключений по аналогии;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одить примеры и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, применять метод математической индукции, обосновывать собственные рассуждения;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AD31E2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D31E2">
        <w:rPr>
          <w:rFonts w:ascii="Times New Roman" w:hAnsi="Times New Roman"/>
          <w:color w:val="000000"/>
          <w:sz w:val="28"/>
          <w:lang w:val="ru-RU"/>
        </w:rPr>
        <w:t>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</w:t>
      </w:r>
      <w:r w:rsidRPr="00AD31E2">
        <w:rPr>
          <w:rFonts w:ascii="Times New Roman" w:hAnsi="Times New Roman"/>
          <w:color w:val="000000"/>
          <w:sz w:val="28"/>
          <w:lang w:val="ru-RU"/>
        </w:rPr>
        <w:t>ю позицию, мнение;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</w:t>
      </w:r>
      <w:r w:rsidRPr="00AD31E2">
        <w:rPr>
          <w:rFonts w:ascii="Times New Roman" w:hAnsi="Times New Roman"/>
          <w:color w:val="000000"/>
          <w:sz w:val="28"/>
          <w:lang w:val="ru-RU"/>
        </w:rPr>
        <w:t>о наблюдения, исследования, эксперимента, оценивать достоверность полученных результатов, выводов и обобщений;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выявлять недос</w:t>
      </w:r>
      <w:r w:rsidRPr="00AD31E2">
        <w:rPr>
          <w:rFonts w:ascii="Times New Roman" w:hAnsi="Times New Roman"/>
          <w:color w:val="000000"/>
          <w:sz w:val="28"/>
          <w:lang w:val="ru-RU"/>
        </w:rPr>
        <w:t>таточность и избыточность информации, данных, необходимых для решения задачи;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иллюстрировать решаемые </w:t>
      </w:r>
      <w:r w:rsidRPr="00AD31E2">
        <w:rPr>
          <w:rFonts w:ascii="Times New Roman" w:hAnsi="Times New Roman"/>
          <w:color w:val="000000"/>
          <w:sz w:val="28"/>
          <w:lang w:val="ru-RU"/>
        </w:rPr>
        <w:t>задачи схемами, диаграммами, иной графикой и их комбинациями;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представл</w:t>
      </w:r>
      <w:r w:rsidRPr="00AD31E2">
        <w:rPr>
          <w:rFonts w:ascii="Times New Roman" w:hAnsi="Times New Roman"/>
          <w:color w:val="000000"/>
          <w:sz w:val="28"/>
          <w:lang w:val="ru-RU"/>
        </w:rPr>
        <w:t>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</w:t>
      </w:r>
      <w:r w:rsidRPr="00AD31E2">
        <w:rPr>
          <w:rFonts w:ascii="Times New Roman" w:hAnsi="Times New Roman"/>
          <w:color w:val="000000"/>
          <w:sz w:val="28"/>
          <w:lang w:val="ru-RU"/>
        </w:rPr>
        <w:t>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обсуждения, обмен мнений, «мозговые штурмы» и иные); выполнять свою часть работы и координировать свои действия с другими членами команды, оценивать </w:t>
      </w:r>
      <w:r w:rsidRPr="00AD31E2">
        <w:rPr>
          <w:rFonts w:ascii="Times New Roman" w:hAnsi="Times New Roman"/>
          <w:color w:val="000000"/>
          <w:sz w:val="28"/>
          <w:lang w:val="ru-RU"/>
        </w:rPr>
        <w:lastRenderedPageBreak/>
        <w:t>качество результата и качество своего вклада в общий результат по критериям, сформулированным участниками в</w:t>
      </w:r>
      <w:r w:rsidRPr="00AD31E2">
        <w:rPr>
          <w:rFonts w:ascii="Times New Roman" w:hAnsi="Times New Roman"/>
          <w:color w:val="000000"/>
          <w:sz w:val="28"/>
          <w:lang w:val="ru-RU"/>
        </w:rPr>
        <w:t>заимодействия.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</w:t>
      </w:r>
      <w:r w:rsidRPr="00AD31E2">
        <w:rPr>
          <w:rFonts w:ascii="Times New Roman" w:hAnsi="Times New Roman"/>
          <w:color w:val="000000"/>
          <w:sz w:val="28"/>
          <w:lang w:val="ru-RU"/>
        </w:rPr>
        <w:t>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владеть способами са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мопроверки, самоконтроля процесса и результата решения математической задачи,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AD31E2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опыту;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и фактов, давать эмоциональную оценку решения задачи.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BC1D41">
      <w:pPr>
        <w:spacing w:after="0" w:line="264" w:lineRule="auto"/>
        <w:ind w:left="120"/>
        <w:jc w:val="both"/>
        <w:rPr>
          <w:lang w:val="ru-RU"/>
        </w:rPr>
      </w:pPr>
    </w:p>
    <w:p w:rsidR="00BC1D41" w:rsidRPr="00AD31E2" w:rsidRDefault="007F099D">
      <w:pPr>
        <w:spacing w:after="0" w:line="264" w:lineRule="auto"/>
        <w:ind w:left="12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AD31E2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степени, степень с рациональным показателем, находить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степени, степень с рациональным показателем, используя при необходимости калькулятор, применять свойства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степени, степени с рациональным показателем.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Использовать понятие множества действительных чисел при решении задач, проведении рассуждений и доказательств.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действительные числа, округлять действительные числа, выполнять </w:t>
      </w:r>
      <w:r w:rsidRPr="00AD31E2">
        <w:rPr>
          <w:rFonts w:ascii="Times New Roman" w:hAnsi="Times New Roman"/>
          <w:color w:val="000000"/>
          <w:sz w:val="28"/>
          <w:lang w:val="ru-RU"/>
        </w:rPr>
        <w:t>прикидку результата вычислений, оценку числовых выражений.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 квадратного трёхчлена, находить корни квадратного трёхчлена.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линейные множители.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дробно-рациональные уравнения.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Решать несложные квадратные уравнения с параметром.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использовать метод интервалов, изображать решение н</w:t>
      </w:r>
      <w:r w:rsidRPr="00AD31E2">
        <w:rPr>
          <w:rFonts w:ascii="Times New Roman" w:hAnsi="Times New Roman"/>
          <w:color w:val="000000"/>
          <w:sz w:val="28"/>
          <w:lang w:val="ru-RU"/>
        </w:rPr>
        <w:t>еравенств на числовой прямой, записывать решение с помощью символов.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Решать несложные системы нелинейных уравнений с парамет</w:t>
      </w:r>
      <w:r w:rsidRPr="00AD31E2">
        <w:rPr>
          <w:rFonts w:ascii="Times New Roman" w:hAnsi="Times New Roman"/>
          <w:color w:val="000000"/>
          <w:sz w:val="28"/>
          <w:lang w:val="ru-RU"/>
        </w:rPr>
        <w:t>ром.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Применять методы равносильных преобразований, замены переменной, графического метода при решении уравнений 3-й и 4-й степеней.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</w:t>
      </w:r>
      <w:r w:rsidRPr="00AD31E2">
        <w:rPr>
          <w:rFonts w:ascii="Times New Roman" w:hAnsi="Times New Roman"/>
          <w:color w:val="000000"/>
          <w:sz w:val="28"/>
          <w:lang w:val="ru-RU"/>
        </w:rPr>
        <w:t>нств на числовой прямой, записывать решение с помощью символов.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Решать уравнения, неравенства и их системы, в том числе с ограничениями, например, в целых числах.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</w:t>
      </w:r>
      <w:r w:rsidRPr="00AD31E2">
        <w:rPr>
          <w:rFonts w:ascii="Times New Roman" w:hAnsi="Times New Roman"/>
          <w:color w:val="000000"/>
          <w:sz w:val="28"/>
          <w:lang w:val="ru-RU"/>
        </w:rPr>
        <w:t>едставлений (устанавливать, имеет ли уравнение или система уравнений решения, если имеет, то сколько, и прочее).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уравнений, неравенств, их систем.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Использовать уравнения, неравенства и и</w:t>
      </w:r>
      <w:r w:rsidRPr="00AD31E2">
        <w:rPr>
          <w:rFonts w:ascii="Times New Roman" w:hAnsi="Times New Roman"/>
          <w:color w:val="000000"/>
          <w:sz w:val="28"/>
          <w:lang w:val="ru-RU"/>
        </w:rPr>
        <w:t>х системы для составления математической модели реальной ситуации или прикладной задачи, интерпретировать полученные результаты в заданном контексте.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зависимость, функция, график фун</w:t>
      </w:r>
      <w:r w:rsidRPr="00AD31E2">
        <w:rPr>
          <w:rFonts w:ascii="Times New Roman" w:hAnsi="Times New Roman"/>
          <w:color w:val="000000"/>
          <w:sz w:val="28"/>
          <w:lang w:val="ru-RU"/>
        </w:rPr>
        <w:t>кции, прямая пропорциональность, линейная функция, обратная пропорциональность, парабола, гипербола, кусочно-заданная функция.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Исследовать функцию по её графику, устанавливать свойства функций: область определения, множество значений, нули функции, промежу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тки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, промежутки возрастания и убывания, чётность и нечётность, наибольшее и наименьшее значения, асимптоты.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lastRenderedPageBreak/>
        <w:t>Определя</w:t>
      </w:r>
      <w:r w:rsidRPr="00AD31E2">
        <w:rPr>
          <w:rFonts w:ascii="Times New Roman" w:hAnsi="Times New Roman"/>
          <w:color w:val="000000"/>
          <w:sz w:val="28"/>
          <w:lang w:val="ru-RU"/>
        </w:rPr>
        <w:t>ть положение графика квадратичной функции в зависимости от её коэффициентов.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Строить график квадратичной функции, описывать свойства квадратичной функции по её графику.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Использовать свойства квадратичной функции для решения задач.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На примере квадратичной функции строить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proofErr w:type="spellStart"/>
      <w:r>
        <w:rPr>
          <w:rFonts w:ascii="Times New Roman" w:hAnsi="Times New Roman"/>
          <w:i/>
          <w:color w:val="000000"/>
          <w:sz w:val="28"/>
        </w:rPr>
        <w:t>af</w:t>
      </w:r>
      <w:proofErr w:type="spellEnd"/>
      <w:r w:rsidRPr="00AD31E2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 xml:space="preserve">)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с помощью преобразований графика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>=</w:t>
      </w:r>
      <w:r>
        <w:rPr>
          <w:rFonts w:ascii="Times New Roman" w:hAnsi="Times New Roman"/>
          <w:i/>
          <w:color w:val="000000"/>
          <w:sz w:val="28"/>
        </w:rPr>
        <w:t>f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1E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Иллюстрировать с помощью графика реальную зависимость или процесс по их характеристикам.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Арифметическая и геометрическая прогрессии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Св</w:t>
      </w:r>
      <w:r w:rsidRPr="00AD31E2">
        <w:rPr>
          <w:rFonts w:ascii="Times New Roman" w:hAnsi="Times New Roman"/>
          <w:color w:val="000000"/>
          <w:sz w:val="28"/>
          <w:lang w:val="ru-RU"/>
        </w:rPr>
        <w:t>ободно оперировать понятиями: последовательность, арифметическая и геометрическая прогрессии.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Задавать последовательности разными способами: описательным, табличным,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>-го члена, рекуррентным.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</w:t>
      </w:r>
      <w:r w:rsidRPr="00AD31E2">
        <w:rPr>
          <w:rFonts w:ascii="Times New Roman" w:hAnsi="Times New Roman"/>
          <w:color w:val="000000"/>
          <w:sz w:val="28"/>
          <w:lang w:val="ru-RU"/>
        </w:rPr>
        <w:t>анием калькулятора, цифровых технологий).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Распознавать и приводить примеры конечных и бесконечных последовательностей, ограниченных последовательностей, монотонно возрастающих (убывающих) последовательностей.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Иметь представление о сходимости последовательн</w:t>
      </w:r>
      <w:r w:rsidRPr="00AD31E2">
        <w:rPr>
          <w:rFonts w:ascii="Times New Roman" w:hAnsi="Times New Roman"/>
          <w:color w:val="000000"/>
          <w:sz w:val="28"/>
          <w:lang w:val="ru-RU"/>
        </w:rPr>
        <w:t>ости, уметь находить сумму бесконечно убывающей геометрической прогрессии.</w:t>
      </w:r>
    </w:p>
    <w:p w:rsidR="00BC1D41" w:rsidRPr="00AD31E2" w:rsidRDefault="007F099D">
      <w:pPr>
        <w:spacing w:after="0" w:line="264" w:lineRule="auto"/>
        <w:ind w:firstLine="600"/>
        <w:jc w:val="both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>Применять метод математической индукции при решении задач.</w:t>
      </w:r>
    </w:p>
    <w:p w:rsidR="00BC1D41" w:rsidRPr="00AD31E2" w:rsidRDefault="00BC1D41">
      <w:pPr>
        <w:rPr>
          <w:lang w:val="ru-RU"/>
        </w:rPr>
        <w:sectPr w:rsidR="00BC1D41" w:rsidRPr="00AD31E2">
          <w:pgSz w:w="11906" w:h="16383"/>
          <w:pgMar w:top="1134" w:right="850" w:bottom="1134" w:left="1701" w:header="720" w:footer="720" w:gutter="0"/>
          <w:cols w:space="720"/>
        </w:sectPr>
      </w:pPr>
    </w:p>
    <w:p w:rsidR="00BC1D41" w:rsidRDefault="007F099D">
      <w:pPr>
        <w:spacing w:after="0"/>
        <w:ind w:left="120"/>
      </w:pPr>
      <w:bookmarkStart w:id="9" w:name="block-36818057"/>
      <w:bookmarkEnd w:id="8"/>
      <w:r w:rsidRPr="00AD31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1D41" w:rsidRDefault="007F0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C1D41" w:rsidRDefault="007F0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36"/>
      </w:tblGrid>
      <w:tr w:rsidR="00BC1D4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</w:tr>
      <w:tr w:rsidR="00BC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D41" w:rsidRDefault="00BC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D41" w:rsidRDefault="00BC1D4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D41" w:rsidRDefault="00BC1D41"/>
        </w:tc>
      </w:tr>
      <w:tr w:rsidR="00BC1D41" w:rsidRPr="00AD31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Уравнения, неравенства и их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Степень с рациональным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  <w:proofErr w:type="spellEnd"/>
            </w:hyperlink>
          </w:p>
        </w:tc>
      </w:tr>
      <w:tr w:rsidR="00BC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1D41" w:rsidRDefault="00BC1D41"/>
        </w:tc>
      </w:tr>
    </w:tbl>
    <w:p w:rsidR="00BC1D41" w:rsidRDefault="00BC1D41">
      <w:pPr>
        <w:sectPr w:rsidR="00BC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D41" w:rsidRDefault="007F099D">
      <w:pPr>
        <w:spacing w:after="0"/>
        <w:ind w:left="120"/>
      </w:pPr>
      <w:bookmarkStart w:id="10" w:name="block-368180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1D41" w:rsidRDefault="007F0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C1D41" w:rsidRDefault="007F0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56"/>
        <w:gridCol w:w="1145"/>
        <w:gridCol w:w="1841"/>
        <w:gridCol w:w="1910"/>
        <w:gridCol w:w="1347"/>
        <w:gridCol w:w="2873"/>
      </w:tblGrid>
      <w:tr w:rsidR="00BC1D4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3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</w:tr>
      <w:tr w:rsidR="00BC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D41" w:rsidRDefault="00BC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D41" w:rsidRDefault="00BC1D41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D41" w:rsidRDefault="00BC1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D41" w:rsidRDefault="00BC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D41" w:rsidRDefault="00BC1D41"/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Свойства функций: нули функции, промежутки 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функции, промежутки возрастания и убывания функции, чётные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и нечётные функции, наибольшее и наименьшее значения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Свойства функций: нули функции, промежутки 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функции, промежутки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преобразований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преобразований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трёхчлен. Корни квадратного трёхчлена.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 и её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adfa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графика квадратичной функции в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её коэффициентов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графика квадратичной функции в зависимости от её коэффициентов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свойств квадратичной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свойств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свойств квадратичной функции для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/92821150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Степенные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y = 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y =√x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y = 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efbf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графическим методом и методом интервалов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графическим методом и методом интервалов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eecaff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с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переменными. Решение неравенства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 неравенств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"Квадратные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/4244257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4827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применений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применений методов равносильных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применений методов равносильных преобразований,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bdafc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дробно-рациональных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уравнений с двумя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0409350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метод решения системы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/30731862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нелинейных уравнений с двумя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5954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нелинейных уравнений с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неравенства с двумя переменными и их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"Уравнения, неравенства и их системы"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3696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числовой последовательности. Конечные и бесконечные последовательности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Ограниченная последовательность. Монотонно возрастающая (убывающая) последовательность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/74049546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 последовательности: описательный, табличный, с помощью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члена, рекуррентный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577805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суммы первых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/9492847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проценты, банковские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"Числовые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 прогрессии"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степени. Свойства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7498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степень с рациональным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степень с рациональным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Числа и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 (запись, сравнение, действия с действительными числами, числовая прямая)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(запись, сравнение, действия с действительными числами, числовая прямая)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23450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(решение задач из реальной жизни)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(решение задач из реальной жизни)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(округление, приближение, оценка)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Текстовые задачи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Текстовые задачи (решение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текстовых задач арифметическим и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Алгебраические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Алгебраические выражения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(преобразование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(преобразование алгебраических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(преобразование алгебраических выражений,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/253694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4818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/40178693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99942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9936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Алгебраические выражения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(моделирование с помощью формул реальных процессов и явлений)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24756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abaca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Функции (графическое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и их систем)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(графическое решение уравнений и их систем)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cbdaf</w:t>
              </w:r>
              <w:proofErr w:type="spellEnd"/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2692060</w:t>
              </w:r>
            </w:hyperlink>
          </w:p>
        </w:tc>
      </w:tr>
      <w:tr w:rsidR="00BC1D41" w:rsidRPr="00AD31E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Функции (моделирование </w:t>
            </w: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процессов)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C1D41" w:rsidRDefault="00BC1D4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aded</w:t>
              </w:r>
              <w:proofErr w:type="spellEnd"/>
            </w:hyperlink>
          </w:p>
        </w:tc>
      </w:tr>
      <w:tr w:rsidR="00BC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D41" w:rsidRPr="00AD31E2" w:rsidRDefault="007F099D">
            <w:pPr>
              <w:spacing w:after="0"/>
              <w:ind w:left="135"/>
              <w:rPr>
                <w:lang w:val="ru-RU"/>
              </w:rPr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 w:rsidRPr="00AD3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1D41" w:rsidRDefault="007F0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D41" w:rsidRDefault="00BC1D41"/>
        </w:tc>
      </w:tr>
    </w:tbl>
    <w:p w:rsidR="00BC1D41" w:rsidRDefault="00BC1D41">
      <w:pPr>
        <w:sectPr w:rsidR="00BC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D41" w:rsidRPr="00AD31E2" w:rsidRDefault="007F099D">
      <w:pPr>
        <w:spacing w:after="0"/>
        <w:ind w:left="120"/>
        <w:rPr>
          <w:lang w:val="ru-RU"/>
        </w:rPr>
      </w:pPr>
      <w:bookmarkStart w:id="11" w:name="block-36818058"/>
      <w:bookmarkEnd w:id="10"/>
      <w:r w:rsidRPr="00AD31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1D41" w:rsidRPr="00AD31E2" w:rsidRDefault="007F099D">
      <w:pPr>
        <w:spacing w:after="0" w:line="480" w:lineRule="auto"/>
        <w:ind w:left="120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Pr="00AD31E2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BC1D41" w:rsidRPr="00AD31E2" w:rsidRDefault="007F099D">
      <w:pPr>
        <w:spacing w:after="0" w:line="480" w:lineRule="auto"/>
        <w:ind w:left="120"/>
        <w:rPr>
          <w:lang w:val="ru-RU"/>
        </w:rPr>
      </w:pPr>
      <w:bookmarkStart w:id="12" w:name="ede69a64-9bb1-4ec5-a54a-8b1cfe71d1d0"/>
      <w:r w:rsidRPr="00AD31E2">
        <w:rPr>
          <w:rFonts w:ascii="Times New Roman" w:hAnsi="Times New Roman"/>
          <w:color w:val="000000"/>
          <w:sz w:val="28"/>
          <w:lang w:val="ru-RU"/>
        </w:rPr>
        <w:t>• Алгебра; углубленное обучение, 9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BC1D41" w:rsidRPr="00AD31E2" w:rsidRDefault="00BC1D41">
      <w:pPr>
        <w:spacing w:after="0" w:line="480" w:lineRule="auto"/>
        <w:ind w:left="120"/>
        <w:rPr>
          <w:lang w:val="ru-RU"/>
        </w:rPr>
      </w:pPr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7F099D">
      <w:pPr>
        <w:spacing w:after="0" w:line="480" w:lineRule="auto"/>
        <w:ind w:left="120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D41" w:rsidRPr="00AD31E2" w:rsidRDefault="007F099D">
      <w:pPr>
        <w:spacing w:after="0" w:line="480" w:lineRule="auto"/>
        <w:ind w:left="120"/>
        <w:rPr>
          <w:lang w:val="ru-RU"/>
        </w:rPr>
      </w:pPr>
      <w:r w:rsidRPr="00AD31E2">
        <w:rPr>
          <w:rFonts w:ascii="Times New Roman" w:hAnsi="Times New Roman"/>
          <w:color w:val="000000"/>
          <w:sz w:val="28"/>
          <w:lang w:val="ru-RU"/>
        </w:rPr>
        <w:t xml:space="preserve">Алгебра, 9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класс:методическое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пособие/ </w:t>
      </w:r>
      <w:proofErr w:type="spellStart"/>
      <w:r w:rsidRPr="00AD31E2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 xml:space="preserve"> Е.В.,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</w:t>
      </w:r>
      <w:r w:rsidRPr="00AD31E2">
        <w:rPr>
          <w:rFonts w:ascii="Times New Roman" w:hAnsi="Times New Roman"/>
          <w:color w:val="000000"/>
          <w:sz w:val="28"/>
          <w:lang w:val="ru-RU"/>
        </w:rPr>
        <w:t>во «Издательство «Просвещение»</w:t>
      </w:r>
      <w:r w:rsidRPr="00AD31E2">
        <w:rPr>
          <w:sz w:val="28"/>
          <w:lang w:val="ru-RU"/>
        </w:rPr>
        <w:br/>
      </w:r>
      <w:r w:rsidRPr="00AD31E2">
        <w:rPr>
          <w:sz w:val="28"/>
          <w:lang w:val="ru-RU"/>
        </w:rPr>
        <w:br/>
      </w:r>
      <w:bookmarkStart w:id="13" w:name="4b4682e8-4815-48f6-a921-94c8417d0f6a"/>
      <w:bookmarkEnd w:id="13"/>
    </w:p>
    <w:p w:rsidR="00BC1D41" w:rsidRPr="00AD31E2" w:rsidRDefault="00BC1D41">
      <w:pPr>
        <w:spacing w:after="0"/>
        <w:ind w:left="120"/>
        <w:rPr>
          <w:lang w:val="ru-RU"/>
        </w:rPr>
      </w:pPr>
    </w:p>
    <w:p w:rsidR="00BC1D41" w:rsidRPr="00AD31E2" w:rsidRDefault="007F099D">
      <w:pPr>
        <w:spacing w:after="0" w:line="480" w:lineRule="auto"/>
        <w:ind w:left="120"/>
        <w:rPr>
          <w:lang w:val="ru-RU"/>
        </w:rPr>
      </w:pPr>
      <w:r w:rsidRPr="00AD31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1D41" w:rsidRPr="00AD31E2" w:rsidRDefault="007F09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D3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AD31E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redir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=1</w:t>
      </w:r>
      <w:r w:rsidRPr="00AD31E2">
        <w:rPr>
          <w:sz w:val="28"/>
          <w:lang w:val="ru-RU"/>
        </w:rPr>
        <w:br/>
      </w:r>
      <w:r w:rsidRPr="00AD3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31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/</w:t>
      </w:r>
      <w:r w:rsidRPr="00AD31E2">
        <w:rPr>
          <w:sz w:val="28"/>
          <w:lang w:val="ru-RU"/>
        </w:rPr>
        <w:br/>
      </w:r>
      <w:bookmarkStart w:id="14" w:name="6c8d068e-25dc-4981-b1dc-5127079dc5d6"/>
      <w:r w:rsidRPr="00AD3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31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3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AD3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bookmarkEnd w:id="14"/>
    </w:p>
    <w:p w:rsidR="00BC1D41" w:rsidRPr="00AD31E2" w:rsidRDefault="00BC1D41">
      <w:pPr>
        <w:rPr>
          <w:lang w:val="ru-RU"/>
        </w:rPr>
        <w:sectPr w:rsidR="00BC1D41" w:rsidRPr="00AD31E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D31E2" w:rsidRPr="009B0538" w:rsidRDefault="00AD31E2" w:rsidP="00AD31E2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B0538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Лист корректировки рабочей программы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9 В</w:t>
      </w:r>
      <w:r w:rsidRPr="009B053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</w:p>
    <w:p w:rsidR="00AD31E2" w:rsidRPr="009B0538" w:rsidRDefault="00AD31E2" w:rsidP="00AD31E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3465"/>
        <w:gridCol w:w="1671"/>
        <w:gridCol w:w="2284"/>
        <w:gridCol w:w="4712"/>
        <w:gridCol w:w="1594"/>
      </w:tblGrid>
      <w:tr w:rsidR="00AD31E2" w:rsidTr="00EE7D7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1E2" w:rsidRDefault="00AD31E2" w:rsidP="00EE7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1E2" w:rsidRDefault="00AD31E2" w:rsidP="00EE7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1E2" w:rsidRDefault="00AD31E2" w:rsidP="00EE7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1E2" w:rsidRDefault="00AD31E2" w:rsidP="00EE7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AD31E2" w:rsidTr="00EE7D7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E2" w:rsidRDefault="00AD31E2" w:rsidP="00EE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1E2" w:rsidRDefault="00AD31E2" w:rsidP="00AD31E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31E2" w:rsidRDefault="00AD31E2" w:rsidP="00AD3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AD31E2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AD31E2" w:rsidRPr="009B0538" w:rsidRDefault="00AD31E2" w:rsidP="00AD31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B0538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9 В</w:t>
      </w:r>
      <w:r w:rsidRPr="009B05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708"/>
        <w:gridCol w:w="712"/>
        <w:gridCol w:w="704"/>
        <w:gridCol w:w="715"/>
        <w:gridCol w:w="706"/>
        <w:gridCol w:w="712"/>
        <w:gridCol w:w="704"/>
        <w:gridCol w:w="715"/>
        <w:gridCol w:w="706"/>
        <w:gridCol w:w="712"/>
        <w:gridCol w:w="704"/>
        <w:gridCol w:w="715"/>
        <w:gridCol w:w="1512"/>
        <w:gridCol w:w="1190"/>
        <w:gridCol w:w="1563"/>
      </w:tblGrid>
      <w:tr w:rsidR="00AD31E2" w:rsidRPr="009B0538" w:rsidTr="00EE7D75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E2" w:rsidRPr="009B0538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0538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E2" w:rsidRPr="009B0538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AD31E2" w:rsidRPr="009B0538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E2" w:rsidRPr="009B0538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AD31E2" w:rsidRPr="009B0538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E2" w:rsidRPr="009B0538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0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AD31E2" w:rsidRPr="009B0538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AD31E2" w:rsidTr="00EE7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Pr="009B0538" w:rsidRDefault="00AD31E2" w:rsidP="00EE7D75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RPr="003E74EE" w:rsidTr="00EE7D7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3E74EE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3E74EE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3E74EE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3E74EE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3E74EE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3E74EE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3E74EE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3E74EE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D31E2" w:rsidRDefault="00AD31E2" w:rsidP="00AD3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AD31E2" w:rsidRPr="00206CEE" w:rsidRDefault="00AD31E2" w:rsidP="00AD31E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D31E2" w:rsidRPr="009B0538" w:rsidRDefault="00AD31E2" w:rsidP="00AD3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9B053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по алгебре для </w:t>
      </w:r>
      <w:r w:rsidRPr="009B0538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 xml:space="preserve">9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В</w:t>
      </w:r>
      <w:r w:rsidRPr="009B053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2361"/>
        <w:gridCol w:w="2366"/>
        <w:gridCol w:w="2363"/>
        <w:gridCol w:w="2361"/>
      </w:tblGrid>
      <w:tr w:rsidR="00AD31E2" w:rsidTr="00EE7D75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AD31E2" w:rsidTr="00EE7D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AD31E2" w:rsidTr="00EE7D75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F50EAC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F50EAC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F50EAC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F50EAC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6A6B55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6A6B55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6A6B55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6A6B55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E2" w:rsidRPr="0057136D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D31E2" w:rsidRDefault="00AD31E2" w:rsidP="00AD31E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AD31E2" w:rsidRPr="009B0538" w:rsidRDefault="00AD31E2" w:rsidP="00AD3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9B05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9B053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алгебре для </w:t>
      </w:r>
      <w:r w:rsidRPr="009B0538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 xml:space="preserve">9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В</w:t>
      </w:r>
      <w:r w:rsidRPr="009B053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514"/>
        <w:gridCol w:w="1514"/>
        <w:gridCol w:w="1514"/>
        <w:gridCol w:w="1514"/>
        <w:gridCol w:w="1515"/>
        <w:gridCol w:w="1597"/>
        <w:gridCol w:w="1707"/>
        <w:gridCol w:w="1811"/>
      </w:tblGrid>
      <w:tr w:rsidR="00AD31E2" w:rsidTr="00EE7D75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D31E2" w:rsidTr="00EE7D75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43634C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5" w:name="_GoBack"/>
            <w:bookmarkEnd w:id="15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43634C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43634C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43634C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86197E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43634C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43634C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86197E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6A6B55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E2" w:rsidRDefault="00AD31E2" w:rsidP="00EE7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E2" w:rsidTr="00EE7D75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E2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E2" w:rsidRPr="0057136D" w:rsidRDefault="00AD31E2" w:rsidP="00EE7D7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1E2" w:rsidRPr="009B0538" w:rsidRDefault="00AD31E2" w:rsidP="00AD31E2">
      <w:pPr>
        <w:rPr>
          <w:lang w:val="ru-RU"/>
        </w:rPr>
      </w:pPr>
    </w:p>
    <w:p w:rsidR="007F099D" w:rsidRPr="00AD31E2" w:rsidRDefault="007F099D">
      <w:pPr>
        <w:rPr>
          <w:lang w:val="ru-RU"/>
        </w:rPr>
      </w:pPr>
    </w:p>
    <w:sectPr w:rsidR="007F099D" w:rsidRPr="00AD31E2" w:rsidSect="009B0538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1D41"/>
    <w:rsid w:val="007F099D"/>
    <w:rsid w:val="00AD31E2"/>
    <w:rsid w:val="00BC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1D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1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AD31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AD31E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4ce8cf0d" TargetMode="External"/><Relationship Id="rId117" Type="http://schemas.openxmlformats.org/officeDocument/2006/relationships/hyperlink" Target="https://m.edsoo.ru/efa0e730" TargetMode="External"/><Relationship Id="rId21" Type="http://schemas.openxmlformats.org/officeDocument/2006/relationships/hyperlink" Target="https://m.edsoo.ru/3577ad2b" TargetMode="External"/><Relationship Id="rId42" Type="http://schemas.openxmlformats.org/officeDocument/2006/relationships/hyperlink" Target="https://m.edsoo.ru/20a68a45" TargetMode="External"/><Relationship Id="rId47" Type="http://schemas.openxmlformats.org/officeDocument/2006/relationships/hyperlink" Target="https://m.edsoo.ru/28bab74d" TargetMode="External"/><Relationship Id="rId63" Type="http://schemas.openxmlformats.org/officeDocument/2006/relationships/hyperlink" Target="https://m.edsoo.ru/7910b721" TargetMode="External"/><Relationship Id="rId68" Type="http://schemas.openxmlformats.org/officeDocument/2006/relationships/hyperlink" Target="https://m.edsoo.ru/8a6d5954" TargetMode="External"/><Relationship Id="rId84" Type="http://schemas.openxmlformats.org/officeDocument/2006/relationships/hyperlink" Target="https://m.edsoo.ru/c72ef6bf" TargetMode="External"/><Relationship Id="rId89" Type="http://schemas.openxmlformats.org/officeDocument/2006/relationships/hyperlink" Target="https://m.edsoo.ru/64f7e085" TargetMode="External"/><Relationship Id="rId112" Type="http://schemas.openxmlformats.org/officeDocument/2006/relationships/hyperlink" Target="https://m.edsoo.ru/07eea449" TargetMode="External"/><Relationship Id="rId133" Type="http://schemas.openxmlformats.org/officeDocument/2006/relationships/hyperlink" Target="https://m.edsoo.ru/9df99942" TargetMode="External"/><Relationship Id="rId138" Type="http://schemas.openxmlformats.org/officeDocument/2006/relationships/hyperlink" Target="https://m.edsoo.ru/ae955f99" TargetMode="External"/><Relationship Id="rId16" Type="http://schemas.openxmlformats.org/officeDocument/2006/relationships/hyperlink" Target="https://m.edsoo.ru/0b248ca2" TargetMode="External"/><Relationship Id="rId107" Type="http://schemas.openxmlformats.org/officeDocument/2006/relationships/hyperlink" Target="https://m.edsoo.ru/ca7892bc" TargetMode="External"/><Relationship Id="rId11" Type="http://schemas.openxmlformats.org/officeDocument/2006/relationships/hyperlink" Target="https://m.edsoo.ru/b3732c65" TargetMode="External"/><Relationship Id="rId32" Type="http://schemas.openxmlformats.org/officeDocument/2006/relationships/hyperlink" Target="https://m.edsoo.ru/4ddd9180" TargetMode="External"/><Relationship Id="rId37" Type="http://schemas.openxmlformats.org/officeDocument/2006/relationships/hyperlink" Target="https://m.edsoo.ru/36721ec3" TargetMode="External"/><Relationship Id="rId53" Type="http://schemas.openxmlformats.org/officeDocument/2006/relationships/hyperlink" Target="https://m.edsoo.ru/e06bdafc" TargetMode="External"/><Relationship Id="rId58" Type="http://schemas.openxmlformats.org/officeDocument/2006/relationships/hyperlink" Target="https://m.edsoo.ru/cc8df2f9" TargetMode="External"/><Relationship Id="rId74" Type="http://schemas.openxmlformats.org/officeDocument/2006/relationships/hyperlink" Target="https://m.edsoo.ru/3fca3696" TargetMode="External"/><Relationship Id="rId79" Type="http://schemas.openxmlformats.org/officeDocument/2006/relationships/hyperlink" Target="https://m.edsoo.ru/8017f902" TargetMode="External"/><Relationship Id="rId102" Type="http://schemas.openxmlformats.org/officeDocument/2006/relationships/hyperlink" Target="https://m.edsoo.ru/0aa0c138" TargetMode="External"/><Relationship Id="rId123" Type="http://schemas.openxmlformats.org/officeDocument/2006/relationships/hyperlink" Target="https://m.edsoo.ru/513c76d2" TargetMode="External"/><Relationship Id="rId128" Type="http://schemas.openxmlformats.org/officeDocument/2006/relationships/hyperlink" Target="https://m.edsoo.ru/adb80ce7" TargetMode="External"/><Relationship Id="rId144" Type="http://schemas.openxmlformats.org/officeDocument/2006/relationships/hyperlink" Target="https://m.edsoo.ru/f2692060" TargetMode="External"/><Relationship Id="rId5" Type="http://schemas.openxmlformats.org/officeDocument/2006/relationships/hyperlink" Target="https://m.edsoo.ru/133deaba" TargetMode="External"/><Relationship Id="rId90" Type="http://schemas.openxmlformats.org/officeDocument/2006/relationships/hyperlink" Target="https://m.edsoo.ru/c4a9eb67" TargetMode="External"/><Relationship Id="rId95" Type="http://schemas.openxmlformats.org/officeDocument/2006/relationships/hyperlink" Target="https://m.edsoo.ru/d5895ad1" TargetMode="External"/><Relationship Id="rId22" Type="http://schemas.openxmlformats.org/officeDocument/2006/relationships/hyperlink" Target="https://m.edsoo.ru/2a984bdc" TargetMode="External"/><Relationship Id="rId27" Type="http://schemas.openxmlformats.org/officeDocument/2006/relationships/hyperlink" Target="https://m.edsoo.ru/92821150" TargetMode="External"/><Relationship Id="rId43" Type="http://schemas.openxmlformats.org/officeDocument/2006/relationships/hyperlink" Target="https://m.edsoo.ru/d72b241f" TargetMode="External"/><Relationship Id="rId48" Type="http://schemas.openxmlformats.org/officeDocument/2006/relationships/hyperlink" Target="https://m.edsoo.ru/bf38d029" TargetMode="External"/><Relationship Id="rId64" Type="http://schemas.openxmlformats.org/officeDocument/2006/relationships/hyperlink" Target="https://m.edsoo.ru/68e900a3" TargetMode="External"/><Relationship Id="rId69" Type="http://schemas.openxmlformats.org/officeDocument/2006/relationships/hyperlink" Target="https://m.edsoo.ru/ce8950b3" TargetMode="External"/><Relationship Id="rId113" Type="http://schemas.openxmlformats.org/officeDocument/2006/relationships/hyperlink" Target="https://m.edsoo.ru/69d23450" TargetMode="External"/><Relationship Id="rId118" Type="http://schemas.openxmlformats.org/officeDocument/2006/relationships/hyperlink" Target="https://m.edsoo.ru/5fd671b7" TargetMode="External"/><Relationship Id="rId134" Type="http://schemas.openxmlformats.org/officeDocument/2006/relationships/hyperlink" Target="https://m.edsoo.ru/16908ac9" TargetMode="External"/><Relationship Id="rId139" Type="http://schemas.openxmlformats.org/officeDocument/2006/relationships/hyperlink" Target="https://m.edsoo.ru/02a630e0" TargetMode="External"/><Relationship Id="rId80" Type="http://schemas.openxmlformats.org/officeDocument/2006/relationships/hyperlink" Target="https://m.edsoo.ru/fb577805" TargetMode="External"/><Relationship Id="rId85" Type="http://schemas.openxmlformats.org/officeDocument/2006/relationships/hyperlink" Target="https://m.edsoo.ru/949284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97eaec2e" TargetMode="External"/><Relationship Id="rId17" Type="http://schemas.openxmlformats.org/officeDocument/2006/relationships/hyperlink" Target="https://m.edsoo.ru/6215f410" TargetMode="External"/><Relationship Id="rId25" Type="http://schemas.openxmlformats.org/officeDocument/2006/relationships/hyperlink" Target="https://m.edsoo.ru/bef7b49f" TargetMode="External"/><Relationship Id="rId33" Type="http://schemas.openxmlformats.org/officeDocument/2006/relationships/hyperlink" Target="https://m.edsoo.ru/c711bddf" TargetMode="External"/><Relationship Id="rId38" Type="http://schemas.openxmlformats.org/officeDocument/2006/relationships/hyperlink" Target="https://m.edsoo.ru/d68f067e" TargetMode="External"/><Relationship Id="rId46" Type="http://schemas.openxmlformats.org/officeDocument/2006/relationships/hyperlink" Target="https://m.edsoo.ru/a555d73b" TargetMode="External"/><Relationship Id="rId59" Type="http://schemas.openxmlformats.org/officeDocument/2006/relationships/hyperlink" Target="https://m.edsoo.ru/3bef3efc" TargetMode="External"/><Relationship Id="rId67" Type="http://schemas.openxmlformats.org/officeDocument/2006/relationships/hyperlink" Target="https://m.edsoo.ru/30731862" TargetMode="External"/><Relationship Id="rId103" Type="http://schemas.openxmlformats.org/officeDocument/2006/relationships/hyperlink" Target="https://m.edsoo.ru/5325ca3a" TargetMode="External"/><Relationship Id="rId108" Type="http://schemas.openxmlformats.org/officeDocument/2006/relationships/hyperlink" Target="https://m.edsoo.ru/bdf8871d" TargetMode="External"/><Relationship Id="rId116" Type="http://schemas.openxmlformats.org/officeDocument/2006/relationships/hyperlink" Target="https://m.edsoo.ru/dad1ae58" TargetMode="External"/><Relationship Id="rId124" Type="http://schemas.openxmlformats.org/officeDocument/2006/relationships/hyperlink" Target="https://m.edsoo.ru/8fa2d2fb" TargetMode="External"/><Relationship Id="rId129" Type="http://schemas.openxmlformats.org/officeDocument/2006/relationships/hyperlink" Target="https://m.edsoo.ru/9a58e0a9" TargetMode="External"/><Relationship Id="rId137" Type="http://schemas.openxmlformats.org/officeDocument/2006/relationships/hyperlink" Target="https://m.edsoo.ru/70161f2f" TargetMode="External"/><Relationship Id="rId20" Type="http://schemas.openxmlformats.org/officeDocument/2006/relationships/hyperlink" Target="https://m.edsoo.ru/c88a279d" TargetMode="External"/><Relationship Id="rId41" Type="http://schemas.openxmlformats.org/officeDocument/2006/relationships/hyperlink" Target="https://m.edsoo.ru/f13ce6ca" TargetMode="External"/><Relationship Id="rId54" Type="http://schemas.openxmlformats.org/officeDocument/2006/relationships/hyperlink" Target="https://m.edsoo.ru/c62a3d83" TargetMode="External"/><Relationship Id="rId62" Type="http://schemas.openxmlformats.org/officeDocument/2006/relationships/hyperlink" Target="https://m.edsoo.ru/a0409350" TargetMode="External"/><Relationship Id="rId70" Type="http://schemas.openxmlformats.org/officeDocument/2006/relationships/hyperlink" Target="https://m.edsoo.ru/dbd6342b" TargetMode="External"/><Relationship Id="rId75" Type="http://schemas.openxmlformats.org/officeDocument/2006/relationships/hyperlink" Target="https://m.edsoo.ru/d5c2560d" TargetMode="External"/><Relationship Id="rId83" Type="http://schemas.openxmlformats.org/officeDocument/2006/relationships/hyperlink" Target="https://m.edsoo.ru/77dee84a" TargetMode="External"/><Relationship Id="rId88" Type="http://schemas.openxmlformats.org/officeDocument/2006/relationships/hyperlink" Target="https://m.edsoo.ru/38f5c6d2" TargetMode="External"/><Relationship Id="rId91" Type="http://schemas.openxmlformats.org/officeDocument/2006/relationships/hyperlink" Target="https://m.edsoo.ru/e3f6d855" TargetMode="External"/><Relationship Id="rId96" Type="http://schemas.openxmlformats.org/officeDocument/2006/relationships/hyperlink" Target="https://m.edsoo.ru/133bae23" TargetMode="External"/><Relationship Id="rId111" Type="http://schemas.openxmlformats.org/officeDocument/2006/relationships/hyperlink" Target="https://m.edsoo.ru/2a2ba4d9" TargetMode="External"/><Relationship Id="rId132" Type="http://schemas.openxmlformats.org/officeDocument/2006/relationships/hyperlink" Target="https://m.edsoo.ru/40178693" TargetMode="External"/><Relationship Id="rId140" Type="http://schemas.openxmlformats.org/officeDocument/2006/relationships/hyperlink" Target="https://m.edsoo.ru/5ca24756" TargetMode="External"/><Relationship Id="rId145" Type="http://schemas.openxmlformats.org/officeDocument/2006/relationships/hyperlink" Target="https://m.edsoo.ru/a0a0aded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33deaba" TargetMode="External"/><Relationship Id="rId15" Type="http://schemas.openxmlformats.org/officeDocument/2006/relationships/hyperlink" Target="https://m.edsoo.ru/de57a4e0" TargetMode="External"/><Relationship Id="rId23" Type="http://schemas.openxmlformats.org/officeDocument/2006/relationships/hyperlink" Target="https://m.edsoo.ru/101baa55" TargetMode="External"/><Relationship Id="rId28" Type="http://schemas.openxmlformats.org/officeDocument/2006/relationships/hyperlink" Target="https://m.edsoo.ru/dc16d347" TargetMode="External"/><Relationship Id="rId36" Type="http://schemas.openxmlformats.org/officeDocument/2006/relationships/hyperlink" Target="https://m.edsoo.ru/bf85efbf" TargetMode="External"/><Relationship Id="rId49" Type="http://schemas.openxmlformats.org/officeDocument/2006/relationships/hyperlink" Target="https://m.edsoo.ru/4244257d" TargetMode="External"/><Relationship Id="rId57" Type="http://schemas.openxmlformats.org/officeDocument/2006/relationships/hyperlink" Target="https://m.edsoo.ru/7b73895d" TargetMode="External"/><Relationship Id="rId106" Type="http://schemas.openxmlformats.org/officeDocument/2006/relationships/hyperlink" Target="https://m.edsoo.ru/ebad7498" TargetMode="External"/><Relationship Id="rId114" Type="http://schemas.openxmlformats.org/officeDocument/2006/relationships/hyperlink" Target="https://m.edsoo.ru/facf7c03" TargetMode="External"/><Relationship Id="rId119" Type="http://schemas.openxmlformats.org/officeDocument/2006/relationships/hyperlink" Target="https://m.edsoo.ru/a527aa4b" TargetMode="External"/><Relationship Id="rId127" Type="http://schemas.openxmlformats.org/officeDocument/2006/relationships/hyperlink" Target="https://m.edsoo.ru/b310ff9b" TargetMode="External"/><Relationship Id="rId10" Type="http://schemas.openxmlformats.org/officeDocument/2006/relationships/hyperlink" Target="https://m.edsoo.ru/d90f2e4e" TargetMode="External"/><Relationship Id="rId31" Type="http://schemas.openxmlformats.org/officeDocument/2006/relationships/hyperlink" Target="https://m.edsoo.ru/845c3cd8" TargetMode="External"/><Relationship Id="rId44" Type="http://schemas.openxmlformats.org/officeDocument/2006/relationships/hyperlink" Target="https://m.edsoo.ru/f1eecaff" TargetMode="External"/><Relationship Id="rId52" Type="http://schemas.openxmlformats.org/officeDocument/2006/relationships/hyperlink" Target="https://m.edsoo.ru/d3127b99" TargetMode="External"/><Relationship Id="rId60" Type="http://schemas.openxmlformats.org/officeDocument/2006/relationships/hyperlink" Target="https://m.edsoo.ru/c06799ac" TargetMode="External"/><Relationship Id="rId65" Type="http://schemas.openxmlformats.org/officeDocument/2006/relationships/hyperlink" Target="https://m.edsoo.ru/b3113be3" TargetMode="External"/><Relationship Id="rId73" Type="http://schemas.openxmlformats.org/officeDocument/2006/relationships/hyperlink" Target="https://m.edsoo.ru/7ccf2559" TargetMode="External"/><Relationship Id="rId78" Type="http://schemas.openxmlformats.org/officeDocument/2006/relationships/hyperlink" Target="https://m.edsoo.ru/ad57c055" TargetMode="External"/><Relationship Id="rId81" Type="http://schemas.openxmlformats.org/officeDocument/2006/relationships/hyperlink" Target="https://m.edsoo.ru/c79443ad" TargetMode="External"/><Relationship Id="rId86" Type="http://schemas.openxmlformats.org/officeDocument/2006/relationships/hyperlink" Target="https://m.edsoo.ru/e4c9ad63" TargetMode="External"/><Relationship Id="rId94" Type="http://schemas.openxmlformats.org/officeDocument/2006/relationships/hyperlink" Target="https://m.edsoo.ru/ccf0d1fc" TargetMode="External"/><Relationship Id="rId99" Type="http://schemas.openxmlformats.org/officeDocument/2006/relationships/hyperlink" Target="https://m.edsoo.ru/9e0dd430" TargetMode="External"/><Relationship Id="rId101" Type="http://schemas.openxmlformats.org/officeDocument/2006/relationships/hyperlink" Target="https://m.edsoo.ru/b32c69f2" TargetMode="External"/><Relationship Id="rId122" Type="http://schemas.openxmlformats.org/officeDocument/2006/relationships/hyperlink" Target="https://m.edsoo.ru/a734595b" TargetMode="External"/><Relationship Id="rId130" Type="http://schemas.openxmlformats.org/officeDocument/2006/relationships/hyperlink" Target="https://m.edsoo.ru/253694c0" TargetMode="External"/><Relationship Id="rId135" Type="http://schemas.openxmlformats.org/officeDocument/2006/relationships/hyperlink" Target="https://m.edsoo.ru/b48b9936" TargetMode="External"/><Relationship Id="rId143" Type="http://schemas.openxmlformats.org/officeDocument/2006/relationships/hyperlink" Target="https://m.edsoo.ru/147cbdaf" TargetMode="External"/><Relationship Id="rId4" Type="http://schemas.openxmlformats.org/officeDocument/2006/relationships/hyperlink" Target="https://m.edsoo.ru/133deaba" TargetMode="External"/><Relationship Id="rId9" Type="http://schemas.openxmlformats.org/officeDocument/2006/relationships/hyperlink" Target="https://m.edsoo.ru/133deaba" TargetMode="External"/><Relationship Id="rId13" Type="http://schemas.openxmlformats.org/officeDocument/2006/relationships/hyperlink" Target="https://m.edsoo.ru/ea04324c" TargetMode="External"/><Relationship Id="rId18" Type="http://schemas.openxmlformats.org/officeDocument/2006/relationships/hyperlink" Target="https://m.edsoo.ru/c456e08e" TargetMode="External"/><Relationship Id="rId39" Type="http://schemas.openxmlformats.org/officeDocument/2006/relationships/hyperlink" Target="https://m.edsoo.ru/060b1779" TargetMode="External"/><Relationship Id="rId109" Type="http://schemas.openxmlformats.org/officeDocument/2006/relationships/hyperlink" Target="https://m.edsoo.ru/b13a49e9" TargetMode="External"/><Relationship Id="rId34" Type="http://schemas.openxmlformats.org/officeDocument/2006/relationships/hyperlink" Target="https://m.edsoo.ru/4eacc9b5" TargetMode="External"/><Relationship Id="rId50" Type="http://schemas.openxmlformats.org/officeDocument/2006/relationships/hyperlink" Target="https://m.edsoo.ru/ba8b4827" TargetMode="External"/><Relationship Id="rId55" Type="http://schemas.openxmlformats.org/officeDocument/2006/relationships/hyperlink" Target="https://m.edsoo.ru/e633ff10" TargetMode="External"/><Relationship Id="rId76" Type="http://schemas.openxmlformats.org/officeDocument/2006/relationships/hyperlink" Target="https://m.edsoo.ru/74049546" TargetMode="External"/><Relationship Id="rId97" Type="http://schemas.openxmlformats.org/officeDocument/2006/relationships/hyperlink" Target="https://m.edsoo.ru/feb21fdd" TargetMode="External"/><Relationship Id="rId104" Type="http://schemas.openxmlformats.org/officeDocument/2006/relationships/hyperlink" Target="https://m.edsoo.ru/4882d830" TargetMode="External"/><Relationship Id="rId120" Type="http://schemas.openxmlformats.org/officeDocument/2006/relationships/hyperlink" Target="https://m.edsoo.ru/75c20ae0" TargetMode="External"/><Relationship Id="rId125" Type="http://schemas.openxmlformats.org/officeDocument/2006/relationships/hyperlink" Target="https://m.edsoo.ru/9336bac2" TargetMode="External"/><Relationship Id="rId141" Type="http://schemas.openxmlformats.org/officeDocument/2006/relationships/hyperlink" Target="https://m.edsoo.ru/601abaca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133deaba" TargetMode="External"/><Relationship Id="rId71" Type="http://schemas.openxmlformats.org/officeDocument/2006/relationships/hyperlink" Target="https://m.edsoo.ru/60ebb1f3" TargetMode="External"/><Relationship Id="rId92" Type="http://schemas.openxmlformats.org/officeDocument/2006/relationships/hyperlink" Target="https://m.edsoo.ru/b19754b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7b3ef2" TargetMode="External"/><Relationship Id="rId24" Type="http://schemas.openxmlformats.org/officeDocument/2006/relationships/hyperlink" Target="https://m.edsoo.ru/15c522bb" TargetMode="External"/><Relationship Id="rId40" Type="http://schemas.openxmlformats.org/officeDocument/2006/relationships/hyperlink" Target="https://m.edsoo.ru/7782d1d2" TargetMode="External"/><Relationship Id="rId45" Type="http://schemas.openxmlformats.org/officeDocument/2006/relationships/hyperlink" Target="https://m.edsoo.ru/29ea1a05" TargetMode="External"/><Relationship Id="rId66" Type="http://schemas.openxmlformats.org/officeDocument/2006/relationships/hyperlink" Target="https://m.edsoo.ru/74a77c73" TargetMode="External"/><Relationship Id="rId87" Type="http://schemas.openxmlformats.org/officeDocument/2006/relationships/hyperlink" Target="https://m.edsoo.ru/a594233e" TargetMode="External"/><Relationship Id="rId110" Type="http://schemas.openxmlformats.org/officeDocument/2006/relationships/hyperlink" Target="https://m.edsoo.ru/a18095d9" TargetMode="External"/><Relationship Id="rId115" Type="http://schemas.openxmlformats.org/officeDocument/2006/relationships/hyperlink" Target="https://m.edsoo.ru/5d2df02d" TargetMode="External"/><Relationship Id="rId131" Type="http://schemas.openxmlformats.org/officeDocument/2006/relationships/hyperlink" Target="https://m.edsoo.ru/7b3e4818" TargetMode="External"/><Relationship Id="rId136" Type="http://schemas.openxmlformats.org/officeDocument/2006/relationships/hyperlink" Target="https://m.edsoo.ru/5d8634a7" TargetMode="External"/><Relationship Id="rId61" Type="http://schemas.openxmlformats.org/officeDocument/2006/relationships/hyperlink" Target="https://m.edsoo.ru/d9e8af79" TargetMode="External"/><Relationship Id="rId82" Type="http://schemas.openxmlformats.org/officeDocument/2006/relationships/hyperlink" Target="https://m.edsoo.ru/b01a67a2" TargetMode="External"/><Relationship Id="rId19" Type="http://schemas.openxmlformats.org/officeDocument/2006/relationships/hyperlink" Target="https://m.edsoo.ru/11f6adfa" TargetMode="External"/><Relationship Id="rId14" Type="http://schemas.openxmlformats.org/officeDocument/2006/relationships/hyperlink" Target="https://m.edsoo.ru/71798cd2" TargetMode="External"/><Relationship Id="rId30" Type="http://schemas.openxmlformats.org/officeDocument/2006/relationships/hyperlink" Target="https://m.edsoo.ru/e35ab595" TargetMode="External"/><Relationship Id="rId35" Type="http://schemas.openxmlformats.org/officeDocument/2006/relationships/hyperlink" Target="https://m.edsoo.ru/cfb115b6" TargetMode="External"/><Relationship Id="rId56" Type="http://schemas.openxmlformats.org/officeDocument/2006/relationships/hyperlink" Target="https://m.edsoo.ru/9b27174d" TargetMode="External"/><Relationship Id="rId77" Type="http://schemas.openxmlformats.org/officeDocument/2006/relationships/hyperlink" Target="https://m.edsoo.ru/027a3fa4" TargetMode="External"/><Relationship Id="rId100" Type="http://schemas.openxmlformats.org/officeDocument/2006/relationships/hyperlink" Target="https://m.edsoo.ru/6e5a5af5" TargetMode="External"/><Relationship Id="rId105" Type="http://schemas.openxmlformats.org/officeDocument/2006/relationships/hyperlink" Target="https://m.edsoo.ru/53b617b8" TargetMode="External"/><Relationship Id="rId126" Type="http://schemas.openxmlformats.org/officeDocument/2006/relationships/hyperlink" Target="https://m.edsoo.ru/f6ab4fe5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133deaba" TargetMode="External"/><Relationship Id="rId51" Type="http://schemas.openxmlformats.org/officeDocument/2006/relationships/hyperlink" Target="https://m.edsoo.ru/8cc6f335" TargetMode="External"/><Relationship Id="rId72" Type="http://schemas.openxmlformats.org/officeDocument/2006/relationships/hyperlink" Target="https://m.edsoo.ru/40bd4935" TargetMode="External"/><Relationship Id="rId93" Type="http://schemas.openxmlformats.org/officeDocument/2006/relationships/hyperlink" Target="https://m.edsoo.ru/bcf88abf" TargetMode="External"/><Relationship Id="rId98" Type="http://schemas.openxmlformats.org/officeDocument/2006/relationships/hyperlink" Target="https://m.edsoo.ru/a0dcf477" TargetMode="External"/><Relationship Id="rId121" Type="http://schemas.openxmlformats.org/officeDocument/2006/relationships/hyperlink" Target="https://m.edsoo.ru/f027e68f" TargetMode="External"/><Relationship Id="rId142" Type="http://schemas.openxmlformats.org/officeDocument/2006/relationships/hyperlink" Target="https://m.edsoo.ru/1aee55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7172</Words>
  <Characters>40882</Characters>
  <Application>Microsoft Office Word</Application>
  <DocSecurity>0</DocSecurity>
  <Lines>340</Lines>
  <Paragraphs>95</Paragraphs>
  <ScaleCrop>false</ScaleCrop>
  <Company/>
  <LinksUpToDate>false</LinksUpToDate>
  <CharactersWithSpaces>47959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2024-09-06T18:40:00Z</dcterms:created>
  <dcterms:modified xsi:type="dcterms:W3CDTF">2024-09-06T18:40:00Z</dcterms:modified>
</cp:coreProperties>
</file>